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139</w:t>
      </w:r>
    </w:p>
    <w:p>
      <w:r>
        <w:t>Bundesgericht (BGE), 1969-07-02, FR</w:t>
      </w:r>
    </w:p>
    <w:p>
      <w:r>
        <w:rPr>
          <w:b/>
        </w:rPr>
        <w:t xml:space="preserve">Quelle: </w:t>
      </w:r>
      <w:r>
        <w:t>https://mcp.opencaselaw.ch/entscheid/bge_95 I 139</w:t>
      </w:r>
    </w:p>
    <w:p>
      <w:r>
        <w:t>FR: ATF 95 I 139</w:t>
      </w:r>
    </w:p>
    <w:p>
      <w:r>
        <w:t>IT: DTF 95 I 139</w:t>
      </w:r>
    </w:p>
    <w:p>
      <w:pPr>
        <w:pStyle w:val="Heading2"/>
      </w:pPr>
      <w:r>
        <w:t>Regeste</w:t>
      </w:r>
    </w:p>
    <w:p>
      <w:r>
        <w:t>Regeste Kantonale Stempelabgabe auf der Übertragung der Aktien von Immobiliengesellschaften. Es ist nicht willkürlich, die Übertragungder Aktien einer Immobiliengesellschaft der Übertragung der Liegenschaft der Gesellschaft gleichzustellen, noch, die Abgabe auf dem gesamten, vom Erwerber bezahlten Preis zu berechnen, wenn dieser Preis den Wert der Aktien und die Übernahme einer Forderung gegen die Gesellschaft umfasst.</w:t>
      </w:r>
    </w:p>
    <w:p>
      <w:pPr>
        <w:pStyle w:val="Heading2"/>
      </w:pPr>
      <w:r>
        <w:t>Erwägungen</w:t>
      </w:r>
    </w:p>
    <w:p>
      <w:r>
        <w:rPr>
          <w:b/>
        </w:rPr>
        <w:t>E. 1</w:t>
      </w:r>
    </w:p>
    <w:p>
      <w:r>
        <w:t>Les recourants prétendent que le Conseil d'Etat est tombé dans l'arbitraire en exigeant d'eux le paiement du droit de timbre sur les contrats en cause, alors qu'ils ne sont ni cédants, ni cessionnaires. Le moyen est nouveau et, partant, irrecevable (RO 92 I 346 litt. a). Il est du reste mal fondé. Selon l'art. 35 LT, l'obligation d'estampiller les actes ou de les présenter à l'enregistrement incombe solidairement aux signataires et aux personnes qui les détiennent pour en déduire un droit. Julliard et Bolliger ont signé les contrats en question au nom et pour le compte des actionnaires-créanciers anonymes de la S.I. Orion, qui vendaient leurs actions et cédaient leur créance. Au surplus, selon la procuration jointe au recours de droit public, ils représentent aussi les acquéreurs de ces actions et créances, domiciliés pour la plupart à l'étranger. Dès lors, on voit mal à qui, sinon à eux, l'Etat du Valais aurait dû s'adresser pour obtenir paiement de l'impôt. L'argument n'est pas de bonne foi.</w:t>
      </w:r>
    </w:p>
    <w:p>
      <w:r>
        <w:rPr>
          <w:b/>
        </w:rPr>
        <w:t>E. 2</w:t>
      </w:r>
    </w:p>
    <w:p>
      <w:r>
        <w:t>Les contrats en cause sont mixtes. D'une part, ils concernent la vente d'un lot d'actions d'une société immobilière, auquel est attaché le droit de prendre à bail un appartement dans l'immeuble social. D'autre part, ils ont trait à la cession d'une créance envers la même société. Le but économique de l'opération dans son ensemble - cela n'est pas contesté - est de conférer aux acheteurs-cessionnaires la faculté de disposer d'un appartement déterminé dans l'immeuble que la S.I. Orion a construit à Anzère Village. a) Les recourants ne contestent pas, avec raison, que dans la mesure où la somme payée par les acheteurs se rapporte à BGE 95 I 139 S. 143 l'achat des actions, le contrat est soumis au timbre proportionnel au sens de l'art. 12 litt. a LT, et cela aux taux prévus par l'art. 13 ch. 2 de la même loi. Il est en effet permis à l'autorité cantonale d'assimiler, à certaines conditions, la vente d'actions d'une société immobilière au transfert de l'immeuble dont celle-ci est propriétaire, en faisant abstraction de la forme juridique pour se fonder sur des considérations économiques. Lorsqu'il statue avec pleins pouvoirs, le Tribunal fédéral n'admet cette façon de procéder que si la forme juridique à laquelle a recouru le contribuable est insolite et n'a été choisie qu'aux fins d'éluder l'impôt. Lorsque, comme en l'espèce, il ne revoit la décision que sous l'angle restreint de l'arbitraire, il exige seulement que des raisons objectives et pertinentes justifient le procédé (RO 93 I 691 ; 90 I 221 ; 85 I 279 /80 et les arrêts cités). Point n'est besoin au demeurant que la loi le prévoie expressément, comme le fait la loi valaisanne sur le droit de timbre (art. 12). Il est manifeste que ces raisons existent en l'espèce. b) Les recourants voudraient toutefois que les taux plus élevés prévus par l'art. 13 ch. 2 LT ne fussent appliqués qu'à la partie du prix représentant la contre-valeur des actions, tandis que le solde du montant figurant dans le contrat, relatif à la cession de la créance chirographaire, ne serait frappé que des droits moins élevés prévus par l'art. 13 ch. 1 LT. Ils se trompent et perdent évidemment de vue la disposition de l'art. 25 litt. n LT, selon laquelle l'assiette de l'impôt est constituée par la quote-part de la valeur de l'immeuble. Cette règle, que les recourants ne mentionnent ni ne critiquent, est au demeurant parfaitement logique. Si l'on assimile, en se fondant sur des considérations économiques, le transfert des actions au transfert de la propriété de l'immeuble, l'assiette de l'impôt doit être la valeur de cet immeuble. L'autorité cantonale, il est vrai, n'a pas établi la valeur de l'immeuble, ni la quote-part afférente à chacun des appartements formant l'objet des contrats; elle a pris pour assiette de l'impôt le prix global que les différents acquéreurs ont payé. Mais cette manière de procéder échappe manifestement au grief d'arbitraire. On ne saurait raisonnablement contester que, du point de vue économique, la prestation globale des acquéreurs représente la valeur de l'appartement, objet du contrat, ou mieux, le prix de cet appartement.</w:t>
      </w:r>
    </w:p>
    <w:p>
      <w:r>
        <w:rPr>
          <w:b/>
        </w:rPr>
        <w:t>E. 3</w:t>
      </w:r>
    </w:p>
    <w:p>
      <w:r>
        <w:t>Les recourants ne pourraient se plaindre que si le fisc BGE 95 I 139 S. 144 avait considéré le transfert des actions comme transfert de l'immeuble, pour l'imposer selon la valeur de cet immeuble, en vertu des art. 12 litt. a, 13 ch. 2 et 25 litt. n LT, et avait ensuite prétendu imposer au surplus la cession de créance, en se fondant sur les art. 11 litt. a, 13 ch. 1 et 25 litt. a LT. Alors seulement, l'autorité cantonale aurait commis l'erreur de se fonder en même temps et de façon contradictoire sur la réalité économique pour frapper le transfert d'actions à l'égal d'un transfert immobilier, et sur la forme juridique de l'opération pour frapper encore la cession de créance (cf. RO 93 I 691 ; 84 I 138 ; 80 I 323 ). Mais le fisc valaisan n'a pas commis cette erreur. Il a considéré à juste titre que l'opération dans son ensemble (vente des actions et cession de la créance chirographaire) était assimilable à un transfert immobilier et s'est borné à l'imposer en conséquence.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